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1"/>
        <w:keepNext w:val="0"/>
        <w:keepLines w:val="0"/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bookmarkStart w:id="0" w:name="_y10jkqncwqpr"/>
      <w:bookmarkEnd w:id="0"/>
    </w:p>
    <w:p>
      <w:pPr>
        <w:pStyle w:val="P1"/>
        <w:keepNext w:val="0"/>
        <w:keepLines w:val="0"/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bookmarkStart w:id="1" w:name="_qq26kfqlbhvo"/>
      <w:bookmarkEnd w:id="1"/>
    </w:p>
    <w:p>
      <w:pPr>
        <w:pStyle w:val="P1"/>
        <w:keepNext w:val="0"/>
        <w:keepLines w:val="0"/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bookmarkStart w:id="2" w:name="_k9jcunc728bg"/>
      <w:bookmarkEnd w:id="2"/>
    </w:p>
    <w:p>
      <w:pPr>
        <w:pStyle w:val="P1"/>
        <w:keepNext w:val="0"/>
        <w:keepLines w:val="0"/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bookmarkStart w:id="3" w:name="_tupg6omklc2u"/>
      <w:bookmarkEnd w:id="3"/>
    </w:p>
    <w:p>
      <w:pPr>
        <w:pStyle w:val="P1"/>
        <w:keepNext w:val="0"/>
        <w:keepLines w:val="0"/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bookmarkStart w:id="4" w:name="_biudxgcbvpm1"/>
      <w:bookmarkEnd w:id="4"/>
    </w:p>
    <w:p>
      <w:pPr>
        <w:pStyle w:val="P1"/>
        <w:keepNext w:val="0"/>
        <w:keepLines w:val="0"/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bookmarkStart w:id="5" w:name="_q27hqqn19wck"/>
      <w:bookmarkEnd w:id="5"/>
    </w:p>
    <w:p>
      <w:pPr>
        <w:pStyle w:val="P1"/>
        <w:keepNext w:val="0"/>
        <w:keepLines w:val="0"/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bookmarkStart w:id="6" w:name="_y4x9zdivycm2"/>
      <w:bookmarkEnd w:id="6"/>
    </w:p>
    <w:p>
      <w:pPr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bookmarkStart w:id="7" w:name="_1jbb467gyoh8"/>
      <w:bookmarkEnd w:id="7"/>
      <w:r>
        <w:rPr>
          <w:b w:val="1"/>
          <w:sz w:val="32"/>
          <w:szCs w:val="32"/>
        </w:rPr>
        <w:t>Описание технических средств хранения исходного текста и объектного кода программного обеспечения, средств компиляции кода.</w:t>
      </w:r>
    </w:p>
    <w:p>
      <w:pPr>
        <w:spacing w:lineRule="auto" w:line="360" w:before="100" w:after="100" w:beforeAutospacing="1" w:afterAutospacing="1"/>
        <w:jc w:val="center"/>
        <w:rPr>
          <w:sz w:val="32"/>
          <w:szCs w:val="32"/>
        </w:rPr>
      </w:pPr>
    </w:p>
    <w:p>
      <w:pPr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  <w:r>
        <w:rPr>
          <w:b w:val="1"/>
          <w:sz w:val="32"/>
          <w:szCs w:val="32"/>
        </w:rPr>
        <w:t>Программного обеспечения «МПХард»</w:t>
      </w:r>
    </w:p>
    <w:p>
      <w:pPr>
        <w:spacing w:lineRule="auto" w:line="360" w:before="100" w:after="100" w:beforeAutospacing="1" w:afterAutospacing="1"/>
        <w:jc w:val="center"/>
        <w:rPr>
          <w:b w:val="1"/>
          <w:sz w:val="32"/>
          <w:szCs w:val="32"/>
        </w:rPr>
      </w:pPr>
    </w:p>
    <w:p>
      <w:pPr>
        <w:spacing w:lineRule="auto" w:line="360" w:before="100" w:after="100" w:beforeAutospacing="1" w:afterAutospacing="1"/>
        <w:jc w:val="both"/>
        <w:rPr>
          <w:b w:val="1"/>
          <w:sz w:val="32"/>
          <w:szCs w:val="32"/>
        </w:rPr>
      </w:pPr>
    </w:p>
    <w:p>
      <w:pPr>
        <w:spacing w:lineRule="auto" w:line="360" w:before="100" w:after="100" w:beforeAutospacing="1" w:afterAutospacing="1"/>
        <w:jc w:val="both"/>
        <w:rPr>
          <w:b w:val="1"/>
          <w:sz w:val="32"/>
          <w:szCs w:val="32"/>
        </w:rPr>
      </w:pPr>
    </w:p>
    <w:p>
      <w:pPr>
        <w:spacing w:lineRule="auto" w:line="360" w:before="100" w:after="100" w:beforeAutospacing="1" w:afterAutospacing="1"/>
        <w:jc w:val="both"/>
        <w:rPr>
          <w:b w:val="1"/>
          <w:sz w:val="32"/>
          <w:szCs w:val="32"/>
        </w:rPr>
      </w:pPr>
    </w:p>
    <w:p>
      <w:pPr>
        <w:spacing w:lineRule="auto" w:line="360" w:before="100" w:after="100" w:beforeAutospacing="1" w:afterAutospacing="1"/>
        <w:jc w:val="both"/>
        <w:rPr>
          <w:b w:val="1"/>
          <w:sz w:val="32"/>
          <w:szCs w:val="32"/>
        </w:rPr>
      </w:pPr>
    </w:p>
    <w:p>
      <w:pPr>
        <w:pStyle w:val="P9"/>
        <w:spacing w:lineRule="auto" w:line="360" w:before="100" w:after="100" w:beforeAutospacing="1" w:afterAutospacing="1"/>
      </w:pPr>
      <w:r>
        <w:t>Содержание</w:t>
      </w:r>
    </w:p>
    <w:p>
      <w:pPr>
        <w:pStyle w:val="P10"/>
        <w:tabs>
          <w:tab w:val="right" w:pos="9019" w:leader="dot"/>
        </w:tabs>
        <w:rPr>
          <w:b w:val="0"/>
          <w:i w:val="0"/>
          <w:bCs w:val="0"/>
          <w:iCs w:val="0"/>
          <w:noProof w:val="1"/>
          <w:lang w:val="ru-RU"/>
        </w:rPr>
      </w:pPr>
      <w:r>
        <w:rPr>
          <w:b w:val="0"/>
          <w:bCs w:val="0"/>
        </w:rPr>
        <w:fldChar w:fldCharType="begin"/>
      </w:r>
      <w:r>
        <w:instrText>TOC \o "1-3" \h \z \u</w:instrText>
      </w:r>
      <w:r>
        <w:rPr>
          <w:b w:val="0"/>
          <w:bCs w:val="0"/>
        </w:rPr>
        <w:fldChar w:fldCharType="separate"/>
      </w:r>
      <w:hyperlink w:anchor="_Toc208578446">
        <w:r>
          <w:rPr>
            <w:rStyle w:val="C2"/>
            <w:noProof w:val="1"/>
          </w:rPr>
          <w:t>Введение</w:t>
        </w:r>
        <w:r>
          <w:rPr>
            <w:noProof w:val="1"/>
          </w:rPr>
          <w:tab/>
        </w:r>
        <w:r>
          <w:rPr>
            <w:noProof w:val="1"/>
          </w:rPr>
          <w:fldChar w:fldCharType="begin"/>
        </w:r>
        <w:r>
          <w:rPr>
            <w:noProof w:val="1"/>
          </w:rPr>
          <w:instrText xml:space="preserve"> PAGEREF _Toc208578446 \h </w:instrText>
        </w:r>
        <w:r>
          <w:rPr>
            <w:noProof w:val="1"/>
          </w:rPr>
          <w:fldChar w:fldCharType="separate"/>
        </w:r>
        <w:r>
          <w:rPr>
            <w:noProof w:val="1"/>
          </w:rPr>
          <w:t>2</w:t>
        </w:r>
        <w:r>
          <w:rPr>
            <w:noProof w:val="1"/>
          </w:rPr>
          <w:fldChar w:fldCharType="end"/>
        </w:r>
      </w:hyperlink>
    </w:p>
    <w:p>
      <w:pPr>
        <w:pStyle w:val="P10"/>
        <w:tabs>
          <w:tab w:val="right" w:pos="9019" w:leader="dot"/>
        </w:tabs>
        <w:rPr>
          <w:b w:val="0"/>
          <w:i w:val="0"/>
          <w:bCs w:val="0"/>
          <w:iCs w:val="0"/>
          <w:noProof w:val="1"/>
          <w:lang w:val="ru-RU"/>
        </w:rPr>
      </w:pPr>
      <w:hyperlink w:anchor="_Toc208578447">
        <w:r>
          <w:rPr>
            <w:rStyle w:val="C2"/>
            <w:noProof w:val="1"/>
          </w:rPr>
          <w:t>Общие положения</w:t>
        </w:r>
        <w:r>
          <w:rPr>
            <w:noProof w:val="1"/>
          </w:rPr>
          <w:tab/>
        </w:r>
        <w:r>
          <w:rPr>
            <w:noProof w:val="1"/>
          </w:rPr>
          <w:fldChar w:fldCharType="begin"/>
        </w:r>
        <w:r>
          <w:rPr>
            <w:noProof w:val="1"/>
          </w:rPr>
          <w:instrText xml:space="preserve"> PAGEREF _Toc208578447 \h </w:instrText>
        </w:r>
        <w:r>
          <w:rPr>
            <w:noProof w:val="1"/>
          </w:rPr>
          <w:fldChar w:fldCharType="separate"/>
        </w:r>
        <w:r>
          <w:rPr>
            <w:noProof w:val="1"/>
          </w:rPr>
          <w:t>3</w:t>
        </w:r>
        <w:r>
          <w:rPr>
            <w:noProof w:val="1"/>
          </w:rPr>
          <w:fldChar w:fldCharType="end"/>
        </w:r>
      </w:hyperlink>
    </w:p>
    <w:p>
      <w:pPr>
        <w:pStyle w:val="P10"/>
        <w:tabs>
          <w:tab w:val="right" w:pos="9019" w:leader="dot"/>
        </w:tabs>
        <w:rPr>
          <w:b w:val="0"/>
          <w:i w:val="0"/>
          <w:bCs w:val="0"/>
          <w:iCs w:val="0"/>
          <w:noProof w:val="1"/>
          <w:lang w:val="ru-RU"/>
        </w:rPr>
      </w:pPr>
      <w:hyperlink w:anchor="_Toc208578448">
        <w:r>
          <w:rPr>
            <w:rStyle w:val="C2"/>
            <w:noProof w:val="1"/>
          </w:rPr>
          <w:t>Технические средства хранения исходного кода</w:t>
        </w:r>
        <w:r>
          <w:rPr>
            <w:noProof w:val="1"/>
          </w:rPr>
          <w:tab/>
        </w:r>
        <w:r>
          <w:rPr>
            <w:noProof w:val="1"/>
          </w:rPr>
          <w:fldChar w:fldCharType="begin"/>
        </w:r>
        <w:r>
          <w:rPr>
            <w:noProof w:val="1"/>
          </w:rPr>
          <w:instrText xml:space="preserve"> PAGEREF _Toc208578448 \h </w:instrText>
        </w:r>
        <w:r>
          <w:rPr>
            <w:noProof w:val="1"/>
          </w:rPr>
          <w:fldChar w:fldCharType="separate"/>
        </w:r>
        <w:r>
          <w:rPr>
            <w:noProof w:val="1"/>
          </w:rPr>
          <w:t>4</w:t>
        </w:r>
        <w:r>
          <w:rPr>
            <w:noProof w:val="1"/>
          </w:rPr>
          <w:fldChar w:fldCharType="end"/>
        </w:r>
      </w:hyperlink>
    </w:p>
    <w:p>
      <w:pPr>
        <w:pStyle w:val="P10"/>
        <w:tabs>
          <w:tab w:val="right" w:pos="9019" w:leader="dot"/>
        </w:tabs>
        <w:rPr>
          <w:b w:val="0"/>
          <w:i w:val="0"/>
          <w:bCs w:val="0"/>
          <w:iCs w:val="0"/>
          <w:noProof w:val="1"/>
          <w:lang w:val="ru-RU"/>
        </w:rPr>
      </w:pPr>
      <w:hyperlink w:anchor="_Toc208578449">
        <w:r>
          <w:rPr>
            <w:rStyle w:val="C2"/>
            <w:noProof w:val="1"/>
          </w:rPr>
          <w:t>Технические средства компиляции исходного кода</w:t>
        </w:r>
        <w:r>
          <w:rPr>
            <w:noProof w:val="1"/>
          </w:rPr>
          <w:tab/>
        </w:r>
        <w:r>
          <w:rPr>
            <w:noProof w:val="1"/>
          </w:rPr>
          <w:fldChar w:fldCharType="begin"/>
        </w:r>
        <w:r>
          <w:rPr>
            <w:noProof w:val="1"/>
          </w:rPr>
          <w:instrText xml:space="preserve"> PAGEREF _Toc208578449 \h </w:instrText>
        </w:r>
        <w:r>
          <w:rPr>
            <w:noProof w:val="1"/>
          </w:rPr>
          <w:fldChar w:fldCharType="separate"/>
        </w:r>
        <w:r>
          <w:rPr>
            <w:noProof w:val="1"/>
          </w:rPr>
          <w:t>5</w:t>
        </w:r>
        <w:r>
          <w:rPr>
            <w:noProof w:val="1"/>
          </w:rPr>
          <w:fldChar w:fldCharType="end"/>
        </w:r>
      </w:hyperlink>
    </w:p>
    <w:p>
      <w:pPr>
        <w:pStyle w:val="P10"/>
        <w:tabs>
          <w:tab w:val="right" w:pos="9019" w:leader="dot"/>
        </w:tabs>
        <w:rPr>
          <w:b w:val="0"/>
          <w:i w:val="0"/>
          <w:bCs w:val="0"/>
          <w:iCs w:val="0"/>
          <w:noProof w:val="1"/>
          <w:lang w:val="ru-RU"/>
        </w:rPr>
      </w:pPr>
      <w:hyperlink w:anchor="_Toc208578450">
        <w:r>
          <w:rPr>
            <w:rStyle w:val="C2"/>
            <w:noProof w:val="1"/>
          </w:rPr>
          <w:t>Технические средства хранения объектного кода</w:t>
        </w:r>
        <w:r>
          <w:rPr>
            <w:noProof w:val="1"/>
          </w:rPr>
          <w:tab/>
        </w:r>
        <w:r>
          <w:rPr>
            <w:noProof w:val="1"/>
          </w:rPr>
          <w:fldChar w:fldCharType="begin"/>
        </w:r>
        <w:r>
          <w:rPr>
            <w:noProof w:val="1"/>
          </w:rPr>
          <w:instrText xml:space="preserve"> PAGEREF _Toc208578450 \h </w:instrText>
        </w:r>
        <w:r>
          <w:rPr>
            <w:noProof w:val="1"/>
          </w:rPr>
          <w:fldChar w:fldCharType="separate"/>
        </w:r>
        <w:r>
          <w:rPr>
            <w:noProof w:val="1"/>
          </w:rPr>
          <w:t>6</w:t>
        </w:r>
        <w:r>
          <w:rPr>
            <w:noProof w:val="1"/>
          </w:rPr>
          <w:fldChar w:fldCharType="end"/>
        </w:r>
      </w:hyperlink>
    </w:p>
    <w:p>
      <w:pPr>
        <w:pStyle w:val="P10"/>
        <w:tabs>
          <w:tab w:val="right" w:pos="9019" w:leader="dot"/>
        </w:tabs>
        <w:rPr>
          <w:b w:val="0"/>
          <w:i w:val="0"/>
          <w:bCs w:val="0"/>
          <w:iCs w:val="0"/>
          <w:noProof w:val="1"/>
          <w:lang w:val="ru-RU"/>
        </w:rPr>
      </w:pPr>
      <w:hyperlink w:anchor="_Toc208578451">
        <w:r>
          <w:rPr>
            <w:rStyle w:val="C2"/>
            <w:noProof w:val="1"/>
          </w:rPr>
          <w:t>Адрес нахождения технических средств хранения кода</w:t>
        </w:r>
        <w:r>
          <w:rPr>
            <w:noProof w:val="1"/>
          </w:rPr>
          <w:tab/>
        </w:r>
        <w:r>
          <w:rPr>
            <w:noProof w:val="1"/>
          </w:rPr>
          <w:fldChar w:fldCharType="begin"/>
        </w:r>
        <w:r>
          <w:rPr>
            <w:noProof w:val="1"/>
          </w:rPr>
          <w:instrText xml:space="preserve"> PAGEREF _Toc208578451 \h </w:instrText>
        </w:r>
        <w:r>
          <w:rPr>
            <w:noProof w:val="1"/>
          </w:rPr>
          <w:fldChar w:fldCharType="separate"/>
        </w:r>
        <w:r>
          <w:rPr>
            <w:noProof w:val="1"/>
          </w:rPr>
          <w:t>7</w:t>
        </w:r>
        <w:r>
          <w:rPr>
            <w:noProof w:val="1"/>
          </w:rPr>
          <w:fldChar w:fldCharType="end"/>
        </w:r>
      </w:hyperlink>
    </w:p>
    <w:p>
      <w:pPr>
        <w:spacing w:lineRule="auto" w:line="360" w:before="100" w:after="100" w:beforeAutospacing="1" w:afterAutospacing="1"/>
      </w:pPr>
      <w:r>
        <w:rPr>
          <w:b w:val="1"/>
          <w:bCs w:val="1"/>
          <w:noProof w:val="1"/>
        </w:rPr>
        <w:fldChar w:fldCharType="end"/>
      </w:r>
    </w:p>
    <w:p>
      <w:pPr>
        <w:spacing w:lineRule="auto" w:line="360" w:before="100" w:after="100" w:beforeAutospacing="1" w:afterAutospacing="1"/>
      </w:pPr>
      <w:r>
        <w:br w:type="textWrapping"/>
      </w:r>
    </w:p>
    <w:p>
      <w:pPr>
        <w:spacing w:lineRule="auto" w:line="360" w:before="100" w:after="100" w:beforeAutospacing="1" w:afterAutospacing="1"/>
      </w:pPr>
      <w:r>
        <w:br w:type="page"/>
      </w:r>
    </w:p>
    <w:p>
      <w:pPr>
        <w:pStyle w:val="P1"/>
        <w:spacing w:lineRule="auto" w:line="360" w:before="100" w:after="100" w:beforeAutospacing="1" w:afterAutospacing="1"/>
      </w:pPr>
      <w:bookmarkStart w:id="8" w:name="_ekbmnbvquaif"/>
      <w:bookmarkEnd w:id="8"/>
      <w:bookmarkStart w:id="9" w:name="_Toc208578446"/>
      <w:r>
        <w:t>Введение</w:t>
      </w:r>
      <w:bookmarkEnd w:id="9"/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Настоящий документ содержит описание технических средств хранения исходного текста и объектного кода программного обеспечения «МПХард», а также описание технических средств, используемых для компиляции (сборки) исходного текста в объектный код и итоговые артефакты. Представленная информация отражает текущую организацию разработки и размещения и предназначена для внутренних и регуляторных нужд.</w:t>
      </w:r>
    </w:p>
    <w:p>
      <w:pPr>
        <w:spacing w:lineRule="auto" w:line="360" w:before="100" w:after="100" w:beforeAutospacing="1" w:afterAutospacing="1"/>
      </w:pPr>
      <w:r>
        <w:br w:type="page"/>
      </w:r>
    </w:p>
    <w:p>
      <w:pPr>
        <w:pStyle w:val="P1"/>
        <w:spacing w:lineRule="auto" w:line="360" w:before="100" w:after="100" w:beforeAutospacing="1" w:afterAutospacing="1"/>
      </w:pPr>
      <w:bookmarkStart w:id="10" w:name="_p9u3h4pr4tt1"/>
      <w:bookmarkEnd w:id="10"/>
      <w:bookmarkStart w:id="11" w:name="_Toc208578447"/>
      <w:r>
        <w:t>Общие положения</w:t>
      </w:r>
      <w:bookmarkEnd w:id="11"/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Настоящий документ относится к программному обеспечению «МПХард», разработка и сопровождение которого выполняются силами ООО «СИТ Консалтинг» (Сетевые информационные технологии консалтинг). Все перечисленные в документе сервисы и хранилища кода и сборочных артефактов расположены и эксплуатируются на серверах, принадлежащих или арендованных компанией ООО «СИТ Консалтинг». Доступ к закрытым репозиториям и CI/CD системам ограничен авторизованными сотрудниками компании. Трансграничная передача исходного кода и объектных артефактов при обычной работе не проводится.</w:t>
      </w:r>
    </w:p>
    <w:p>
      <w:pPr>
        <w:spacing w:lineRule="auto" w:line="360" w:before="100" w:after="100" w:beforeAutospacing="1" w:afterAutospacing="1"/>
      </w:pPr>
      <w:r>
        <w:br w:type="page"/>
      </w:r>
    </w:p>
    <w:p>
      <w:pPr>
        <w:pStyle w:val="P1"/>
        <w:spacing w:lineRule="auto" w:line="360" w:before="100" w:after="100" w:beforeAutospacing="1" w:afterAutospacing="1"/>
      </w:pPr>
      <w:bookmarkStart w:id="12" w:name="_1ewoehlgofab"/>
      <w:bookmarkEnd w:id="12"/>
      <w:bookmarkStart w:id="13" w:name="_mqfxkfmm3ip9"/>
      <w:bookmarkEnd w:id="13"/>
      <w:bookmarkStart w:id="14" w:name="_lib9bmoz9xoj"/>
      <w:bookmarkEnd w:id="14"/>
      <w:bookmarkStart w:id="15" w:name="_q7adcgyo99qm"/>
      <w:bookmarkEnd w:id="15"/>
      <w:bookmarkStart w:id="16" w:name="_3tslc6jm2m2u"/>
      <w:bookmarkEnd w:id="16"/>
      <w:bookmarkStart w:id="17" w:name="_3uzfau8dvgk1"/>
      <w:bookmarkEnd w:id="17"/>
      <w:bookmarkStart w:id="18" w:name="_Toc208578448"/>
      <w:r>
        <w:t>Технические средства хранения исходного кода</w:t>
      </w:r>
      <w:bookmarkEnd w:id="18"/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Исходные тексты программного обеспечения «МПХард» хранятся в системе контроля версий Git. Для хостинга Git-репозиториев и организации совместной разработки используется GitLab (GitLab Community Edition), развернутый на серверах ООО «СИТ Консалтинг». Доступ к этому сервису осуществляется по внутренним/защитным каналам с аутентификацией и разграничением прав доступа.</w:t>
      </w:r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Исходный код мобильного приложения преимущественно написан с использованием языка Kotlin. При реализации серверной части и вспомогательных инструментов применяться Kotlin/Java и фреймворк Spring Boot — их хранение также производится в репозиториях Git на сервере GitLab компании.</w:t>
      </w:r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Перечень используемых программных средств хранения исходного кода: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Git — система распределённого контроля версий;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GitLab — хостинг репозиториев, управление задачами, CI/CD;</w:t>
      </w:r>
    </w:p>
    <w:p>
      <w:pPr>
        <w:spacing w:lineRule="auto" w:line="360" w:before="100" w:after="100" w:beforeAutospacing="1" w:afterAutospacing="1"/>
      </w:pPr>
      <w:r>
        <w:br w:type="page"/>
      </w:r>
    </w:p>
    <w:p>
      <w:pPr>
        <w:pStyle w:val="P1"/>
        <w:spacing w:lineRule="auto" w:line="360" w:before="100" w:after="100" w:beforeAutospacing="1" w:afterAutospacing="1"/>
      </w:pPr>
      <w:bookmarkStart w:id="19" w:name="_g9q0kw2x9l5f"/>
      <w:bookmarkEnd w:id="19"/>
      <w:bookmarkStart w:id="20" w:name="_Toc208578449"/>
      <w:r>
        <w:t>Технические средства компиляции исходного кода</w:t>
      </w:r>
      <w:bookmarkEnd w:id="20"/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Сборка (компиляция) исходного кода в объектные артефакты производится в инфраструктуре ООО «СИТ Консалтинг» на выделенных сборочных серверах (CI/CD), интегрированных с сервером GitLab. В качестве технических средств и инструментов сборки используются: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Операционные системы: Linux.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Java Development Kit (JDK) — необходим для Android-сборок и инструментов (обычно версии 11 или 17 в зависимости от требований сборки).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Android SDK / Android NDK — инструменты и платформенные библиотеки для сборки Android-артефактов.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Gradle — система сборки и управления зависимостями для Android-части.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GitLab CI (GitLab Runner) — система автоматизации сборки, тестирования и публикации артефактов.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Инструменты упаковки и подписи артефактов (ключи подписи keystore и механизмы хранения секретов реализованы в защищённом хранилище компании).</w:t>
      </w:r>
    </w:p>
    <w:p>
      <w:pPr>
        <w:spacing w:lineRule="auto" w:line="360" w:before="100" w:after="100" w:beforeAutospacing="1" w:afterAutospacing="1"/>
      </w:pPr>
      <w:r>
        <w:br w:type="page"/>
      </w:r>
    </w:p>
    <w:p>
      <w:pPr>
        <w:pStyle w:val="P1"/>
        <w:spacing w:lineRule="auto" w:line="360" w:before="100" w:after="100" w:beforeAutospacing="1" w:afterAutospacing="1"/>
      </w:pPr>
      <w:bookmarkStart w:id="21" w:name="_vcgzjiyo6mbw"/>
      <w:bookmarkEnd w:id="21"/>
      <w:bookmarkStart w:id="22" w:name="_yks7kyful24x"/>
      <w:bookmarkEnd w:id="22"/>
      <w:bookmarkStart w:id="23" w:name="_p3lqrsf4ehaq"/>
      <w:bookmarkEnd w:id="23"/>
      <w:bookmarkStart w:id="24" w:name="_51185jw1o8u3"/>
      <w:bookmarkEnd w:id="24"/>
      <w:bookmarkStart w:id="25" w:name="_tag1htoudcoq"/>
      <w:bookmarkEnd w:id="25"/>
      <w:bookmarkStart w:id="26" w:name="_Toc208578450"/>
      <w:r>
        <w:t>Технические средства хранения объектного кода</w:t>
      </w:r>
      <w:bookmarkEnd w:id="26"/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Результаты сборок (объектный код, установочные пакеты, архивы, CI-артефакты) сохраняются и доступны через следующие места: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GitLab CI Artifacts / Packages — хранилище артефактов, настроенное в корпоративной инстанции GitLab;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Внутренние файловые хранилища и сетевые диски на серверах ООО «СИТ Консалтинг» для долгосрочного хранения релизных сборок и бэкапов;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− Публично доступные (если применимо) релизы/страницы размещаются на сайте с доменным именем </w:t>
      </w:r>
      <w:r>
        <w:rPr>
          <w:b w:val="1"/>
          <w:smallCaps w:val="0"/>
          <w:sz w:val="24"/>
          <w:szCs w:val="22"/>
          <w:cs w:val="0"/>
          <w:spacing w:val="0"/>
          <w:w w:val="100"/>
          <w:position w:val="0"/>
          <w:snapToGrid w:val="1"/>
        </w:rPr>
        <w:t>мпхард.ситконсалтинг.рф</w:t>
      </w:r>
      <w:r>
        <w:rPr>
          <w:sz w:val="24"/>
          <w:szCs w:val="24"/>
        </w:rPr>
        <w:t>, который также размещён на серверах ООО «СИТ Консалтинг» и используется для публикации релизов, документации и обновлений при наличии соответствующих политик доступа.</w:t>
      </w:r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Артефакты выпускаются в виде пакетов (APK/AAB для Android), подписываются и сохраняются в зафиксированных местах хранения с контролем версий и метаданными (номер сборки, ветка, дата сборки, инициатор сборки).</w:t>
      </w:r>
    </w:p>
    <w:p>
      <w:pPr>
        <w:spacing w:lineRule="auto" w:line="360" w:before="100" w:after="100" w:beforeAutospacing="1" w:afterAutospacing="1"/>
      </w:pPr>
      <w:r>
        <w:br w:type="page"/>
      </w:r>
    </w:p>
    <w:p>
      <w:pPr>
        <w:pStyle w:val="P1"/>
        <w:spacing w:lineRule="auto" w:line="360" w:before="100" w:after="100" w:beforeAutospacing="1" w:afterAutospacing="1"/>
      </w:pPr>
      <w:bookmarkStart w:id="27" w:name="_aoegwednfw5p"/>
      <w:bookmarkEnd w:id="27"/>
      <w:bookmarkStart w:id="28" w:name="_Toc208578451"/>
      <w:r>
        <w:t>Адрес нахождения технических средств хранения кода</w:t>
      </w:r>
      <w:bookmarkEnd w:id="28"/>
    </w:p>
    <w:p>
      <w:pPr>
        <w:spacing w:lineRule="auto" w:line="360" w:before="100" w:after="100" w:beforeAutospacing="1" w:afterAutospacing="1"/>
        <w:rPr>
          <w:sz w:val="24"/>
          <w:szCs w:val="24"/>
          <w:lang w:val="ru-RU"/>
        </w:rPr>
      </w:pPr>
      <w:r>
        <w:rPr>
          <w:sz w:val="24"/>
          <w:szCs w:val="24"/>
        </w:rPr>
        <w:t>Технические средства хранения исходного и объектного кода программного обеспечения размещены в вычислительной инфраструктуре и дата-центрах, принадлежащих либо арендованных ООО «СИТ Консалтинг» на территории Российской Федерации. Доменные и веб-ресурсы проекта расположены на:</w:t>
      </w:r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 xml:space="preserve">− Домен: </w:t>
      </w:r>
      <w:r>
        <w:rPr>
          <w:smallCaps w:val="0"/>
          <w:sz w:val="24"/>
          <w:szCs w:val="22"/>
          <w:cs w:val="0"/>
          <w:spacing w:val="0"/>
          <w:w w:val="100"/>
          <w:position w:val="0"/>
          <w:snapToGrid w:val="1"/>
        </w:rPr>
        <w:t>мпхард.ситконсалтинг.рф</w:t>
      </w:r>
      <w:r>
        <w:rPr>
          <w:sz w:val="24"/>
          <w:szCs w:val="24"/>
        </w:rPr>
        <w:t xml:space="preserve"> (размещён на серверах ООО «СИТ Консалтинг»).</w:t>
      </w:r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r>
        <w:rPr>
          <w:sz w:val="24"/>
          <w:szCs w:val="24"/>
        </w:rPr>
        <w:t>− Адрес юридический/фактический: 119330, г. Москва, Мосфильмовская ул., д.17Б, эт.1, пом.1, ком.18.</w:t>
      </w:r>
    </w:p>
    <w:p>
      <w:pPr>
        <w:spacing w:lineRule="auto" w:line="360" w:before="100" w:after="100" w:beforeAutospacing="1" w:afterAutospacing="1"/>
        <w:rPr>
          <w:sz w:val="24"/>
          <w:szCs w:val="24"/>
        </w:rPr>
      </w:pPr>
      <w:bookmarkStart w:id="29" w:name="_GoBack"/>
      <w:bookmarkEnd w:id="29"/>
    </w:p>
    <w:p>
      <w:pPr>
        <w:spacing w:lineRule="auto" w:line="360" w:before="100" w:after="100" w:beforeAutospacing="1" w:afterAutospacing="1"/>
      </w:pP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notePr/>
      <w:endnotePr/>
      <w:type w:val="nextPage"/>
      <w:pgSz w:w="11909" w:h="16834" w:code="0"/>
      <w:pgMar w:left="1440" w:right="1440" w:top="1440" w:bottom="1440" w:header="720" w:footer="720" w:gutter="0"/>
      <w:pgNumType w:start="0" w:chapSep="period"/>
      <w:cols w:equalWidth="1" w:space="720"/>
      <w:titlePg w:val="1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pPr>
        <w:spacing w:lineRule="auto" w:line="240" w:beforeAutospacing="0" w:afterAutospacing="0"/>
      </w:pPr>
    </w:p>
  </w:endnote>
  <w:endnote w:type="continuationSeparator" w:id="0">
    <w:p>
      <w:pPr>
        <w:spacing w:lineRule="auto" w:line="240" w:beforeAutospacing="0" w:afterAutospacing="0"/>
      </w:pP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jc w:val="right"/>
    </w:pPr>
    <w:r>
      <w:fldChar w:fldCharType="begin"/>
    </w:r>
    <w:r>
      <w:instrText>PAGE</w:instrText>
    </w:r>
    <w:r>
      <w:fldChar w:fldCharType="separate"/>
    </w:r>
    <w:r>
      <w:t>#</w:t>
    </w:r>
    <w:r>
      <w:fldChar w:fldCharType="end"/>
    </w: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pPr>
        <w:spacing w:lineRule="auto" w:line="240" w:beforeAutospacing="0" w:afterAutospacing="0"/>
      </w:pPr>
    </w:p>
  </w:footnote>
  <w:footnote w:type="continuationSeparator" w:id="0">
    <w:p>
      <w:pPr>
        <w:spacing w:lineRule="auto" w:line="240" w:beforeAutospacing="0" w:afterAutospacing="0"/>
      </w:pPr>
    </w:p>
  </w:footnote>
</w:footnotes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szCs w:val="22"/>
        <w:lang w:val="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qFormat/>
    <w:pPr>
      <w:keepNext w:val="1"/>
      <w:keepLines w:val="1"/>
      <w:spacing w:before="400" w:after="120" w:beforeAutospacing="0" w:afterAutospacing="0"/>
      <w:outlineLvl w:val="0"/>
    </w:pPr>
    <w:rPr>
      <w:sz w:val="40"/>
      <w:szCs w:val="40"/>
    </w:rPr>
  </w:style>
  <w:style w:type="paragraph" w:styleId="P2">
    <w:name w:val="Heading 2"/>
    <w:basedOn w:val="P0"/>
    <w:next w:val="P0"/>
    <w:qFormat/>
    <w:pPr>
      <w:keepNext w:val="1"/>
      <w:keepLines w:val="1"/>
      <w:spacing w:before="360" w:after="120" w:beforeAutospacing="0" w:afterAutospacing="0"/>
      <w:outlineLvl w:val="1"/>
    </w:pPr>
    <w:rPr>
      <w:sz w:val="32"/>
      <w:szCs w:val="32"/>
    </w:rPr>
  </w:style>
  <w:style w:type="paragraph" w:styleId="P3">
    <w:name w:val="Heading 3"/>
    <w:basedOn w:val="P0"/>
    <w:next w:val="P0"/>
    <w:semiHidden/>
    <w:qFormat/>
    <w:pPr>
      <w:keepNext w:val="1"/>
      <w:keepLines w:val="1"/>
      <w:spacing w:before="320" w:after="80" w:beforeAutospacing="0" w:afterAutospacing="0"/>
      <w:outlineLvl w:val="2"/>
    </w:pPr>
    <w:rPr>
      <w:color w:val="434343"/>
      <w:sz w:val="28"/>
      <w:szCs w:val="28"/>
    </w:rPr>
  </w:style>
  <w:style w:type="paragraph" w:styleId="P4">
    <w:name w:val="Heading 4"/>
    <w:basedOn w:val="P0"/>
    <w:next w:val="P0"/>
    <w:semiHidden/>
    <w:qFormat/>
    <w:pPr>
      <w:keepNext w:val="1"/>
      <w:keepLines w:val="1"/>
      <w:spacing w:before="280" w:after="80" w:beforeAutospacing="0" w:afterAutospacing="0"/>
      <w:outlineLvl w:val="3"/>
    </w:pPr>
    <w:rPr>
      <w:color w:val="666666"/>
      <w:sz w:val="24"/>
      <w:szCs w:val="24"/>
    </w:rPr>
  </w:style>
  <w:style w:type="paragraph" w:styleId="P5">
    <w:name w:val="Heading 5"/>
    <w:basedOn w:val="P0"/>
    <w:next w:val="P0"/>
    <w:semiHidden/>
    <w:qFormat/>
    <w:pPr>
      <w:keepNext w:val="1"/>
      <w:keepLines w:val="1"/>
      <w:spacing w:before="240" w:after="80" w:beforeAutospacing="0" w:afterAutospacing="0"/>
      <w:outlineLvl w:val="4"/>
    </w:pPr>
    <w:rPr>
      <w:color w:val="666666"/>
    </w:rPr>
  </w:style>
  <w:style w:type="paragraph" w:styleId="P6">
    <w:name w:val="Heading 6"/>
    <w:basedOn w:val="P0"/>
    <w:next w:val="P0"/>
    <w:semiHidden/>
    <w:qFormat/>
    <w:pPr>
      <w:keepNext w:val="1"/>
      <w:keepLines w:val="1"/>
      <w:spacing w:before="240" w:after="80" w:beforeAutospacing="0" w:afterAutospacing="0"/>
      <w:outlineLvl w:val="5"/>
    </w:pPr>
    <w:rPr>
      <w:i w:val="1"/>
      <w:color w:val="666666"/>
    </w:rPr>
  </w:style>
  <w:style w:type="paragraph" w:styleId="P7">
    <w:name w:val="Title"/>
    <w:basedOn w:val="P0"/>
    <w:next w:val="P0"/>
    <w:qFormat/>
    <w:pPr>
      <w:keepNext w:val="1"/>
      <w:keepLines w:val="1"/>
      <w:spacing w:after="60" w:beforeAutospacing="0" w:afterAutospacing="0"/>
    </w:pPr>
    <w:rPr>
      <w:sz w:val="52"/>
      <w:szCs w:val="52"/>
    </w:rPr>
  </w:style>
  <w:style w:type="paragraph" w:styleId="P8">
    <w:name w:val="Subtitle"/>
    <w:basedOn w:val="P0"/>
    <w:next w:val="P0"/>
    <w:qFormat/>
    <w:pPr>
      <w:keepNext w:val="1"/>
      <w:keepLines w:val="1"/>
      <w:spacing w:after="320" w:beforeAutospacing="0" w:afterAutospacing="0"/>
    </w:pPr>
    <w:rPr>
      <w:color w:val="666666"/>
      <w:sz w:val="30"/>
      <w:szCs w:val="30"/>
    </w:rPr>
  </w:style>
  <w:style w:type="paragraph" w:styleId="P9">
    <w:name w:val="TOC Heading"/>
    <w:basedOn w:val="P1"/>
    <w:next w:val="P0"/>
    <w:qFormat/>
    <w:pPr>
      <w:spacing w:before="480" w:after="0" w:beforeAutospacing="0" w:afterAutospacing="0"/>
      <w:outlineLvl w:val="9"/>
    </w:pPr>
    <w:rPr>
      <w:b w:val="1"/>
      <w:bCs w:val="1"/>
      <w:color w:val="376092" w:themeColor="accent1" w:themeShade="BF"/>
      <w:sz w:val="28"/>
      <w:szCs w:val="28"/>
      <w:lang w:val="ru-RU"/>
    </w:rPr>
  </w:style>
  <w:style w:type="paragraph" w:styleId="P10">
    <w:name w:val="TOC 1"/>
    <w:basedOn w:val="P0"/>
    <w:next w:val="P0"/>
    <w:autoRedefine w:val="1"/>
    <w:pPr>
      <w:spacing w:before="120" w:beforeAutospacing="0" w:afterAutospacing="0"/>
    </w:pPr>
    <w:rPr>
      <w:b w:val="1"/>
      <w:i w:val="1"/>
      <w:bCs w:val="1"/>
      <w:iCs w:val="1"/>
      <w:sz w:val="24"/>
      <w:szCs w:val="24"/>
    </w:rPr>
  </w:style>
  <w:style w:type="paragraph" w:styleId="P11">
    <w:name w:val="TOC 2"/>
    <w:basedOn w:val="P0"/>
    <w:next w:val="P0"/>
    <w:autoRedefine w:val="1"/>
    <w:pPr>
      <w:spacing w:before="120" w:beforeAutospacing="0" w:afterAutospacing="0"/>
      <w:ind w:left="220"/>
    </w:pPr>
    <w:rPr>
      <w:b w:val="1"/>
      <w:bCs w:val="1"/>
    </w:rPr>
  </w:style>
  <w:style w:type="paragraph" w:styleId="P12">
    <w:name w:val="TOC 3"/>
    <w:basedOn w:val="P0"/>
    <w:next w:val="P0"/>
    <w:autoRedefine w:val="1"/>
    <w:semiHidden/>
    <w:pPr>
      <w:ind w:left="440"/>
    </w:pPr>
    <w:rPr>
      <w:sz w:val="20"/>
      <w:szCs w:val="20"/>
    </w:rPr>
  </w:style>
  <w:style w:type="paragraph" w:styleId="P13">
    <w:name w:val="TOC 4"/>
    <w:basedOn w:val="P0"/>
    <w:next w:val="P0"/>
    <w:autoRedefine w:val="1"/>
    <w:semiHidden/>
    <w:pPr>
      <w:ind w:left="660"/>
    </w:pPr>
    <w:rPr>
      <w:sz w:val="20"/>
      <w:szCs w:val="20"/>
    </w:rPr>
  </w:style>
  <w:style w:type="paragraph" w:styleId="P14">
    <w:name w:val="TOC 5"/>
    <w:basedOn w:val="P0"/>
    <w:next w:val="P0"/>
    <w:autoRedefine w:val="1"/>
    <w:semiHidden/>
    <w:pPr>
      <w:ind w:left="880"/>
    </w:pPr>
    <w:rPr>
      <w:sz w:val="20"/>
      <w:szCs w:val="20"/>
    </w:rPr>
  </w:style>
  <w:style w:type="paragraph" w:styleId="P15">
    <w:name w:val="TOC 6"/>
    <w:basedOn w:val="P0"/>
    <w:next w:val="P0"/>
    <w:autoRedefine w:val="1"/>
    <w:semiHidden/>
    <w:pPr>
      <w:ind w:left="1100"/>
    </w:pPr>
    <w:rPr>
      <w:sz w:val="20"/>
      <w:szCs w:val="20"/>
    </w:rPr>
  </w:style>
  <w:style w:type="paragraph" w:styleId="P16">
    <w:name w:val="TOC 7"/>
    <w:basedOn w:val="P0"/>
    <w:next w:val="P0"/>
    <w:autoRedefine w:val="1"/>
    <w:semiHidden/>
    <w:pPr>
      <w:ind w:left="1320"/>
    </w:pPr>
    <w:rPr>
      <w:sz w:val="20"/>
      <w:szCs w:val="20"/>
    </w:rPr>
  </w:style>
  <w:style w:type="paragraph" w:styleId="P17">
    <w:name w:val="TOC 8"/>
    <w:basedOn w:val="P0"/>
    <w:next w:val="P0"/>
    <w:autoRedefine w:val="1"/>
    <w:semiHidden/>
    <w:pPr>
      <w:ind w:left="1540"/>
    </w:pPr>
    <w:rPr>
      <w:sz w:val="20"/>
      <w:szCs w:val="20"/>
    </w:rPr>
  </w:style>
  <w:style w:type="paragraph" w:styleId="P18">
    <w:name w:val="TOC 9"/>
    <w:basedOn w:val="P0"/>
    <w:next w:val="P0"/>
    <w:autoRedefine w:val="1"/>
    <w:semiHidden/>
    <w:pPr>
      <w:ind w:left="1760"/>
    </w:pPr>
    <w:rPr>
      <w:sz w:val="20"/>
      <w:szCs w:val="20"/>
    </w:rPr>
  </w:style>
  <w:style w:type="paragraph" w:styleId="P19">
    <w:name w:val="Footnote Text"/>
    <w:link w:val="C4"/>
    <w:semiHidden/>
    <w:pPr>
      <w:spacing w:lineRule="auto" w:line="240" w:after="0" w:beforeAutospacing="0" w:afterAutospacing="0"/>
    </w:pPr>
    <w:rPr>
      <w:sz w:val="20"/>
      <w:szCs w:val="20"/>
    </w:rPr>
  </w:style>
  <w:style w:type="paragraph" w:styleId="P20">
    <w:name w:val="Endnote Text"/>
    <w:link w:val="C6"/>
    <w:semiHidden/>
    <w:pPr>
      <w:spacing w:lineRule="auto" w:line="240" w:after="0" w:beforeAutospacing="0" w:afterAutospacing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Footnote Reference"/>
    <w:semiHidden/>
    <w:rPr>
      <w:vertAlign w:val="superscript"/>
    </w:rPr>
  </w:style>
  <w:style w:type="character" w:styleId="C4">
    <w:name w:val="Footnote Text Char"/>
    <w:link w:val="P19"/>
    <w:semiHidden/>
    <w:rPr>
      <w:sz w:val="20"/>
      <w:szCs w:val="20"/>
    </w:rPr>
  </w:style>
  <w:style w:type="character" w:styleId="C5">
    <w:name w:val="Endnote Reference"/>
    <w:semiHidden/>
    <w:rPr>
      <w:vertAlign w:val="superscript"/>
    </w:rPr>
  </w:style>
  <w:style w:type="character" w:styleId="C6">
    <w:name w:val="Endnote Text Char"/>
    <w:link w:val="P2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Normal"/>
    <w:tblPr>
      <w:tblCellMar>
        <w:top w:w="100" w:type="dxa"/>
        <w:left w:w="100" w:type="dxa"/>
        <w:bottom w:w="100" w:type="dxa"/>
        <w:right w:w="10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RelItem1" Type="http://schemas.openxmlformats.org/officeDocument/2006/relationships/customXml" Target="../customXml/item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er2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c72f63-eeb7-3948-b7df-123335723bef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>
  <Application>DevExpress Office File API/24.2.3.0</Application>
  <AppVersion>24.2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2025-09-12T10:31:00Z</dcterms:created>
  <dcterms:modified xsi:type="dcterms:W3CDTF">2025-10-20T08:52:29Z</dcterms:modified>
  <cp:revision>4</cp:revision>
</cp:coreProperties>
</file>